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3E222" w14:textId="77777777" w:rsidR="003D6A29" w:rsidRPr="001F1FBC" w:rsidRDefault="003D6A29" w:rsidP="003D6A29">
      <w:pPr>
        <w:spacing w:line="276" w:lineRule="auto"/>
        <w:rPr>
          <w:rFonts w:ascii="Arial" w:hAnsi="Arial" w:cs="Arial"/>
          <w:sz w:val="20"/>
          <w:szCs w:val="20"/>
        </w:rPr>
      </w:pPr>
      <w:r w:rsidRPr="001F1FBC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EBB937E" wp14:editId="605CCBF4">
            <wp:extent cx="1107440" cy="535858"/>
            <wp:effectExtent l="0" t="0" r="0" b="0"/>
            <wp:docPr id="6" name="Picture 6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application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9038" cy="575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6F46F" w14:textId="77777777" w:rsidR="003D6A29" w:rsidRDefault="003D6A29" w:rsidP="003D6A29">
      <w:pPr>
        <w:spacing w:after="0"/>
        <w:rPr>
          <w:rFonts w:ascii="Times New Roman" w:hAnsi="Times New Roman" w:cs="Times New Roman"/>
          <w:b/>
          <w:bCs/>
          <w:color w:val="3A7C22" w:themeColor="accent6" w:themeShade="BF"/>
          <w:sz w:val="28"/>
          <w:szCs w:val="28"/>
        </w:rPr>
      </w:pPr>
    </w:p>
    <w:p w14:paraId="6CDC4E77" w14:textId="77777777" w:rsidR="003D6A29" w:rsidRPr="004113F7" w:rsidRDefault="003D6A29" w:rsidP="003D6A29">
      <w:pPr>
        <w:spacing w:after="0"/>
        <w:rPr>
          <w:rFonts w:ascii="Times New Roman" w:hAnsi="Times New Roman" w:cs="Times New Roman"/>
          <w:b/>
          <w:bCs/>
          <w:color w:val="3A7C22" w:themeColor="accent6" w:themeShade="BF"/>
          <w:sz w:val="28"/>
          <w:szCs w:val="28"/>
        </w:rPr>
      </w:pPr>
      <w:r w:rsidRPr="004113F7">
        <w:rPr>
          <w:rFonts w:ascii="Times New Roman" w:hAnsi="Times New Roman" w:cs="Times New Roman"/>
          <w:b/>
          <w:bCs/>
          <w:color w:val="3A7C22" w:themeColor="accent6" w:themeShade="BF"/>
          <w:sz w:val="28"/>
          <w:szCs w:val="28"/>
        </w:rPr>
        <w:t xml:space="preserve">NCII Rural Pathways Project </w:t>
      </w:r>
    </w:p>
    <w:p w14:paraId="5ABB2D14" w14:textId="77777777" w:rsidR="003D6A29" w:rsidRPr="00730BFF" w:rsidRDefault="003D6A29" w:rsidP="003D6A29">
      <w:pPr>
        <w:spacing w:after="0"/>
        <w:rPr>
          <w:rFonts w:ascii="Times New Roman" w:hAnsi="Times New Roman" w:cs="Times New Roman"/>
          <w:b/>
          <w:bCs/>
          <w:i/>
          <w:iCs/>
          <w:color w:val="3A7C22" w:themeColor="accent6" w:themeShade="BF"/>
          <w:sz w:val="28"/>
          <w:szCs w:val="28"/>
        </w:rPr>
      </w:pPr>
      <w:r w:rsidRPr="004113F7">
        <w:rPr>
          <w:rFonts w:ascii="Times New Roman" w:hAnsi="Times New Roman" w:cs="Times New Roman"/>
          <w:b/>
          <w:bCs/>
          <w:color w:val="3A7C22" w:themeColor="accent6" w:themeShade="BF"/>
          <w:sz w:val="28"/>
          <w:szCs w:val="28"/>
        </w:rPr>
        <w:t xml:space="preserve">Institute </w:t>
      </w:r>
      <w:r>
        <w:rPr>
          <w:rFonts w:ascii="Times New Roman" w:hAnsi="Times New Roman" w:cs="Times New Roman"/>
          <w:b/>
          <w:bCs/>
          <w:color w:val="3A7C22" w:themeColor="accent6" w:themeShade="BF"/>
          <w:sz w:val="28"/>
          <w:szCs w:val="28"/>
        </w:rPr>
        <w:t xml:space="preserve">4: </w:t>
      </w:r>
      <w:r w:rsidRPr="00730BFF">
        <w:rPr>
          <w:rFonts w:ascii="Times New Roman" w:hAnsi="Times New Roman" w:cs="Times New Roman"/>
          <w:b/>
          <w:bCs/>
          <w:i/>
          <w:iCs/>
          <w:color w:val="3A7C22" w:themeColor="accent6" w:themeShade="BF"/>
          <w:sz w:val="28"/>
          <w:szCs w:val="28"/>
        </w:rPr>
        <w:t>Strengthening the Community College Role in Bachelor’s Completion and Post-Baccalaureate Success</w:t>
      </w:r>
    </w:p>
    <w:p w14:paraId="59BD5039" w14:textId="109A95C7" w:rsidR="003D6A29" w:rsidRDefault="003D6A29" w:rsidP="003D6A29">
      <w:pPr>
        <w:spacing w:after="0"/>
        <w:rPr>
          <w:rFonts w:ascii="Times New Roman" w:hAnsi="Times New Roman" w:cs="Times New Roman"/>
          <w:b/>
          <w:bCs/>
          <w:color w:val="3A7C22" w:themeColor="accent6" w:themeShade="B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A7C22" w:themeColor="accent6" w:themeShade="BF"/>
          <w:sz w:val="28"/>
          <w:szCs w:val="28"/>
        </w:rPr>
        <w:t>Team Session #2 – October 29, 2026</w:t>
      </w:r>
    </w:p>
    <w:p w14:paraId="0136B90B" w14:textId="77777777" w:rsidR="003D6A29" w:rsidRDefault="003D6A29" w:rsidP="003D6A29">
      <w:pPr>
        <w:spacing w:after="0"/>
        <w:rPr>
          <w:rFonts w:ascii="Times New Roman" w:hAnsi="Times New Roman" w:cs="Times New Roman"/>
          <w:b/>
          <w:bCs/>
          <w:color w:val="3A7C22" w:themeColor="accent6" w:themeShade="BF"/>
          <w:sz w:val="28"/>
          <w:szCs w:val="28"/>
        </w:rPr>
      </w:pPr>
    </w:p>
    <w:p w14:paraId="0132981D" w14:textId="7B8D142E" w:rsidR="00BB74B1" w:rsidRDefault="003D6A29" w:rsidP="003D6A2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A7C22" w:themeColor="accent6" w:themeShade="BF"/>
          <w:sz w:val="28"/>
          <w:szCs w:val="28"/>
        </w:rPr>
        <w:t xml:space="preserve">Introduction: </w:t>
      </w:r>
      <w:r w:rsidRPr="003D6A29">
        <w:rPr>
          <w:rFonts w:ascii="Times New Roman" w:hAnsi="Times New Roman" w:cs="Times New Roman"/>
          <w:b/>
          <w:bCs/>
          <w:sz w:val="24"/>
          <w:szCs w:val="24"/>
        </w:rPr>
        <w:t>Take five</w:t>
      </w:r>
      <w:r w:rsidR="00BB74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 ten </w:t>
      </w:r>
      <w:r w:rsidRPr="003D6A29">
        <w:rPr>
          <w:rFonts w:ascii="Times New Roman" w:hAnsi="Times New Roman" w:cs="Times New Roman"/>
          <w:b/>
          <w:bCs/>
          <w:sz w:val="24"/>
          <w:szCs w:val="24"/>
        </w:rPr>
        <w:t>minutes and have members of your team review the section of your institution’s CCRC Data and Action Guide that displays your transfer data.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>You may also want to take the opportunity to review the data via the Tableau link provided in the report.</w:t>
      </w:r>
      <w:r w:rsidR="00BB74B1">
        <w:rPr>
          <w:rFonts w:ascii="Times New Roman" w:hAnsi="Times New Roman" w:cs="Times New Roman"/>
          <w:b/>
          <w:bCs/>
          <w:sz w:val="24"/>
          <w:szCs w:val="24"/>
        </w:rPr>
        <w:t xml:space="preserve"> Review and discuss the questions and observations by CCRC in that section.</w:t>
      </w:r>
    </w:p>
    <w:p w14:paraId="48888D52" w14:textId="77777777" w:rsidR="00BB74B1" w:rsidRDefault="00BB74B1" w:rsidP="003D6A2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9B1B979" w14:textId="398656F0" w:rsidR="003D6A29" w:rsidRDefault="00BB74B1" w:rsidP="00BB74B1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Provide responses to the questions CCRC raised below:</w:t>
      </w:r>
    </w:p>
    <w:p w14:paraId="45A0E79F" w14:textId="77777777" w:rsidR="00BB74B1" w:rsidRDefault="00BB74B1" w:rsidP="00BB74B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6475"/>
      </w:tblGrid>
      <w:tr w:rsidR="00BB74B1" w14:paraId="21420022" w14:textId="77777777" w:rsidTr="00BB74B1">
        <w:tc>
          <w:tcPr>
            <w:tcW w:w="6475" w:type="dxa"/>
          </w:tcPr>
          <w:p w14:paraId="4BE97BB4" w14:textId="23F430B3" w:rsidR="00BB74B1" w:rsidRDefault="00BB74B1" w:rsidP="00BB74B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CCRC Question</w:t>
            </w:r>
          </w:p>
        </w:tc>
        <w:tc>
          <w:tcPr>
            <w:tcW w:w="6475" w:type="dxa"/>
          </w:tcPr>
          <w:p w14:paraId="573B83F4" w14:textId="54082FD0" w:rsidR="00BB74B1" w:rsidRDefault="00BB74B1" w:rsidP="00BB74B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College Observations/Responses</w:t>
            </w:r>
          </w:p>
        </w:tc>
      </w:tr>
      <w:tr w:rsidR="00BB74B1" w14:paraId="4EA2B76D" w14:textId="77777777" w:rsidTr="00BB74B1">
        <w:tc>
          <w:tcPr>
            <w:tcW w:w="6475" w:type="dxa"/>
          </w:tcPr>
          <w:p w14:paraId="7C0BDFAE" w14:textId="77777777" w:rsidR="00BB74B1" w:rsidRDefault="00BB74B1" w:rsidP="00BB74B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475" w:type="dxa"/>
          </w:tcPr>
          <w:p w14:paraId="6E91136A" w14:textId="77777777" w:rsidR="00BB74B1" w:rsidRDefault="00BB74B1" w:rsidP="00BB74B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74B1" w14:paraId="1F7D5493" w14:textId="77777777" w:rsidTr="00BB74B1">
        <w:tc>
          <w:tcPr>
            <w:tcW w:w="6475" w:type="dxa"/>
          </w:tcPr>
          <w:p w14:paraId="5363BC6B" w14:textId="77777777" w:rsidR="00BB74B1" w:rsidRDefault="00BB74B1" w:rsidP="00BB74B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475" w:type="dxa"/>
          </w:tcPr>
          <w:p w14:paraId="34403D52" w14:textId="77777777" w:rsidR="00BB74B1" w:rsidRDefault="00BB74B1" w:rsidP="00BB74B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74B1" w14:paraId="69C9B83C" w14:textId="77777777" w:rsidTr="00BB74B1">
        <w:tc>
          <w:tcPr>
            <w:tcW w:w="6475" w:type="dxa"/>
          </w:tcPr>
          <w:p w14:paraId="26224074" w14:textId="77777777" w:rsidR="00BB74B1" w:rsidRDefault="00BB74B1" w:rsidP="00BB74B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475" w:type="dxa"/>
          </w:tcPr>
          <w:p w14:paraId="0B0F6CB3" w14:textId="77777777" w:rsidR="00BB74B1" w:rsidRDefault="00BB74B1" w:rsidP="00BB74B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74B1" w14:paraId="1F8EE458" w14:textId="77777777" w:rsidTr="00BB74B1">
        <w:tc>
          <w:tcPr>
            <w:tcW w:w="6475" w:type="dxa"/>
          </w:tcPr>
          <w:p w14:paraId="7AADD240" w14:textId="77777777" w:rsidR="00BB74B1" w:rsidRDefault="00BB74B1" w:rsidP="00BB74B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475" w:type="dxa"/>
          </w:tcPr>
          <w:p w14:paraId="7967D623" w14:textId="77777777" w:rsidR="00BB74B1" w:rsidRDefault="00BB74B1" w:rsidP="00BB74B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9808C8C" w14:textId="77777777" w:rsidR="00BB74B1" w:rsidRPr="00BB74B1" w:rsidRDefault="00BB74B1" w:rsidP="00BB74B1">
      <w:pPr>
        <w:spacing w:after="0"/>
        <w:rPr>
          <w:rFonts w:ascii="Times New Roman" w:hAnsi="Times New Roman" w:cs="Times New Roman"/>
          <w:b/>
          <w:bCs/>
        </w:rPr>
      </w:pPr>
    </w:p>
    <w:p w14:paraId="05CBA6F8" w14:textId="1D5B3847" w:rsidR="003D6A29" w:rsidRDefault="00BB74B1" w:rsidP="00BB74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List Areas of Opportunity and </w:t>
      </w:r>
      <w:r w:rsidR="00047393">
        <w:rPr>
          <w:rFonts w:ascii="Times New Roman" w:hAnsi="Times New Roman" w:cs="Times New Roman"/>
          <w:b/>
          <w:bCs/>
        </w:rPr>
        <w:t xml:space="preserve">Potential </w:t>
      </w:r>
      <w:r>
        <w:rPr>
          <w:rFonts w:ascii="Times New Roman" w:hAnsi="Times New Roman" w:cs="Times New Roman"/>
          <w:b/>
          <w:bCs/>
        </w:rPr>
        <w:t>Next Steps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6475"/>
      </w:tblGrid>
      <w:tr w:rsidR="00BB74B1" w14:paraId="1D4C0652" w14:textId="77777777" w:rsidTr="00BB74B1">
        <w:tc>
          <w:tcPr>
            <w:tcW w:w="6475" w:type="dxa"/>
          </w:tcPr>
          <w:p w14:paraId="1C64E349" w14:textId="1B195F7F" w:rsidR="00BB74B1" w:rsidRDefault="00BB74B1" w:rsidP="00BB74B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Areas of Opportunity</w:t>
            </w:r>
          </w:p>
        </w:tc>
        <w:tc>
          <w:tcPr>
            <w:tcW w:w="6475" w:type="dxa"/>
          </w:tcPr>
          <w:p w14:paraId="6570391D" w14:textId="6ADF796D" w:rsidR="00BB74B1" w:rsidRDefault="00BB74B1" w:rsidP="00BB74B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Potential Next Steps</w:t>
            </w:r>
          </w:p>
        </w:tc>
      </w:tr>
      <w:tr w:rsidR="00BB74B1" w14:paraId="3BA92438" w14:textId="77777777" w:rsidTr="00BB74B1">
        <w:tc>
          <w:tcPr>
            <w:tcW w:w="6475" w:type="dxa"/>
          </w:tcPr>
          <w:p w14:paraId="089B4A24" w14:textId="77777777" w:rsidR="00BB74B1" w:rsidRDefault="00BB74B1" w:rsidP="00BB74B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475" w:type="dxa"/>
          </w:tcPr>
          <w:p w14:paraId="4877EC18" w14:textId="77777777" w:rsidR="00BB74B1" w:rsidRDefault="00BB74B1" w:rsidP="00BB74B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74B1" w14:paraId="7994A068" w14:textId="77777777" w:rsidTr="00BB74B1">
        <w:tc>
          <w:tcPr>
            <w:tcW w:w="6475" w:type="dxa"/>
          </w:tcPr>
          <w:p w14:paraId="62DF4777" w14:textId="77777777" w:rsidR="00BB74B1" w:rsidRDefault="00BB74B1" w:rsidP="00BB74B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475" w:type="dxa"/>
          </w:tcPr>
          <w:p w14:paraId="2AC5993E" w14:textId="77777777" w:rsidR="00BB74B1" w:rsidRDefault="00BB74B1" w:rsidP="00BB74B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74B1" w14:paraId="404B0EC4" w14:textId="77777777" w:rsidTr="00BB74B1">
        <w:tc>
          <w:tcPr>
            <w:tcW w:w="6475" w:type="dxa"/>
          </w:tcPr>
          <w:p w14:paraId="55DAC186" w14:textId="77777777" w:rsidR="00BB74B1" w:rsidRDefault="00BB74B1" w:rsidP="00BB74B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475" w:type="dxa"/>
          </w:tcPr>
          <w:p w14:paraId="443F0261" w14:textId="77777777" w:rsidR="00BB74B1" w:rsidRDefault="00BB74B1" w:rsidP="00BB74B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74B1" w14:paraId="37E89643" w14:textId="77777777" w:rsidTr="00BB74B1">
        <w:tc>
          <w:tcPr>
            <w:tcW w:w="6475" w:type="dxa"/>
          </w:tcPr>
          <w:p w14:paraId="1A8252A4" w14:textId="77777777" w:rsidR="00BB74B1" w:rsidRDefault="00BB74B1" w:rsidP="00BB74B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475" w:type="dxa"/>
          </w:tcPr>
          <w:p w14:paraId="14A92477" w14:textId="77777777" w:rsidR="00BB74B1" w:rsidRDefault="00BB74B1" w:rsidP="00BB74B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25C4E1E" w14:textId="77777777" w:rsidR="00BB74B1" w:rsidRPr="00BB74B1" w:rsidRDefault="00BB74B1" w:rsidP="00BB74B1">
      <w:pPr>
        <w:rPr>
          <w:rFonts w:ascii="Times New Roman" w:hAnsi="Times New Roman" w:cs="Times New Roman"/>
          <w:b/>
          <w:bCs/>
        </w:rPr>
      </w:pPr>
    </w:p>
    <w:sectPr w:rsidR="00BB74B1" w:rsidRPr="00BB74B1" w:rsidSect="003D6A29">
      <w:pgSz w:w="15840" w:h="12240" w:orient="landscape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3C4527"/>
    <w:multiLevelType w:val="hybridMultilevel"/>
    <w:tmpl w:val="2E84E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0560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A29"/>
    <w:rsid w:val="00047393"/>
    <w:rsid w:val="003D6A29"/>
    <w:rsid w:val="0041207C"/>
    <w:rsid w:val="00BB74B1"/>
    <w:rsid w:val="00FA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76231"/>
  <w15:chartTrackingRefBased/>
  <w15:docId w15:val="{B871234C-C06F-4407-AA5D-74E425213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A29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6A2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6A2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6A2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6A2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6A2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6A2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6A2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6A2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6A2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6A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6A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6A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6A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6A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6A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6A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6A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6A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6A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D6A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6A2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D6A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6A2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D6A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6A2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D6A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A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A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6A2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B7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Gretchen Schmidt</dc:creator>
  <cp:keywords/>
  <dc:description/>
  <cp:lastModifiedBy>Gretchen Schmidt</cp:lastModifiedBy>
  <cp:revision>3</cp:revision>
  <dcterms:created xsi:type="dcterms:W3CDTF">2026-10-12T17:59:00Z</dcterms:created>
  <dcterms:modified xsi:type="dcterms:W3CDTF">2026-10-12T20:46:00Z</dcterms:modified>
</cp:coreProperties>
</file>